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4024D" w14:textId="77777777" w:rsidR="00257DC4" w:rsidRPr="001B0814" w:rsidRDefault="00257DC4" w:rsidP="00257DC4">
      <w:pPr>
        <w:pStyle w:val="10spCenterednospaceafter"/>
        <w:rPr>
          <w:szCs w:val="24"/>
        </w:rPr>
      </w:pPr>
      <w:r w:rsidRPr="001B0814">
        <w:rPr>
          <w:b/>
          <w:szCs w:val="24"/>
        </w:rPr>
        <w:t xml:space="preserve">RESOLUTION APPROVING THE </w:t>
      </w:r>
      <w:r>
        <w:rPr>
          <w:b/>
          <w:szCs w:val="24"/>
        </w:rPr>
        <w:t xml:space="preserve">EXTENDED </w:t>
      </w:r>
      <w:r w:rsidRPr="001B0814">
        <w:rPr>
          <w:b/>
          <w:szCs w:val="24"/>
        </w:rPr>
        <w:t xml:space="preserve">COVID-19 </w:t>
      </w:r>
      <w:r>
        <w:rPr>
          <w:b/>
          <w:szCs w:val="24"/>
        </w:rPr>
        <w:t xml:space="preserve">LEARNING PLANS (“ECLP”) </w:t>
      </w:r>
      <w:r w:rsidRPr="001B0814">
        <w:rPr>
          <w:b/>
          <w:szCs w:val="24"/>
        </w:rPr>
        <w:t>AND APPROVAL OF CHARTER CONTRACT AMENDMENT</w:t>
      </w:r>
    </w:p>
    <w:p w14:paraId="7EE9198A" w14:textId="77777777" w:rsidR="00257DC4" w:rsidRDefault="00257DC4" w:rsidP="00257DC4">
      <w:pPr>
        <w:pStyle w:val="10spCenterednospaceafter"/>
        <w:rPr>
          <w:sz w:val="22"/>
          <w:szCs w:val="22"/>
        </w:rPr>
      </w:pPr>
      <w:r w:rsidRPr="00CF782C">
        <w:rPr>
          <w:sz w:val="22"/>
          <w:szCs w:val="22"/>
        </w:rPr>
        <w:t xml:space="preserve"> </w:t>
      </w:r>
    </w:p>
    <w:p w14:paraId="4F85AD9B" w14:textId="77777777" w:rsidR="00257DC4" w:rsidRPr="00CF782C" w:rsidRDefault="00257DC4" w:rsidP="00257DC4">
      <w:pPr>
        <w:pStyle w:val="10spCenterednospaceafter"/>
        <w:rPr>
          <w:sz w:val="22"/>
          <w:szCs w:val="22"/>
        </w:rPr>
      </w:pPr>
      <w:r w:rsidRPr="00CF782C">
        <w:rPr>
          <w:sz w:val="22"/>
          <w:szCs w:val="22"/>
        </w:rPr>
        <w:t>[</w:t>
      </w:r>
      <w:r w:rsidRPr="00CF782C">
        <w:rPr>
          <w:sz w:val="22"/>
          <w:szCs w:val="22"/>
          <w:highlight w:val="yellow"/>
        </w:rPr>
        <w:t>NAME OF ACADEMY</w:t>
      </w:r>
      <w:r w:rsidRPr="00CF782C">
        <w:rPr>
          <w:sz w:val="22"/>
          <w:szCs w:val="22"/>
        </w:rPr>
        <w:t>] (the “Academy”)</w:t>
      </w:r>
    </w:p>
    <w:p w14:paraId="5661F17E" w14:textId="77777777" w:rsidR="00257DC4" w:rsidRPr="00CF782C" w:rsidRDefault="00257DC4" w:rsidP="00257DC4">
      <w:pPr>
        <w:pStyle w:val="10spCenterednospaceafter"/>
        <w:rPr>
          <w:sz w:val="22"/>
          <w:szCs w:val="22"/>
        </w:rPr>
      </w:pPr>
    </w:p>
    <w:p w14:paraId="067A54FB" w14:textId="77777777" w:rsidR="00257DC4" w:rsidRPr="00CF782C" w:rsidRDefault="00257DC4" w:rsidP="00257DC4">
      <w:pPr>
        <w:pStyle w:val="Normal0"/>
        <w:spacing w:after="120"/>
        <w:rPr>
          <w:sz w:val="22"/>
          <w:szCs w:val="22"/>
        </w:rPr>
      </w:pPr>
      <w:r w:rsidRPr="00CF782C">
        <w:rPr>
          <w:sz w:val="22"/>
          <w:szCs w:val="22"/>
        </w:rPr>
        <w:tab/>
        <w:t>A [regular/ special] meeting of the Academy Board of Directors was held on the ___ day of September, 2020, at ___ [a.m. / p.m.]</w:t>
      </w:r>
    </w:p>
    <w:p w14:paraId="04F8B91B" w14:textId="77777777" w:rsidR="00257DC4" w:rsidRPr="00CF782C" w:rsidRDefault="00257DC4" w:rsidP="00257DC4">
      <w:pPr>
        <w:pStyle w:val="Normal0"/>
        <w:spacing w:after="120"/>
        <w:rPr>
          <w:sz w:val="22"/>
          <w:szCs w:val="22"/>
        </w:rPr>
      </w:pPr>
      <w:r w:rsidRPr="00CF782C">
        <w:rPr>
          <w:sz w:val="22"/>
          <w:szCs w:val="22"/>
        </w:rPr>
        <w:tab/>
        <w:t>The meeting was called to order at ______ [a.m. / p.m.] by Board Member __________________:</w:t>
      </w:r>
    </w:p>
    <w:p w14:paraId="7D2B91C1" w14:textId="60556B0F" w:rsidR="00257DC4" w:rsidRPr="00CF782C" w:rsidRDefault="00257DC4" w:rsidP="00257DC4">
      <w:pPr>
        <w:pStyle w:val="Normal0"/>
        <w:spacing w:after="120"/>
        <w:rPr>
          <w:sz w:val="22"/>
          <w:szCs w:val="22"/>
        </w:rPr>
      </w:pPr>
      <w:r w:rsidRPr="00CF782C">
        <w:rPr>
          <w:sz w:val="22"/>
          <w:szCs w:val="22"/>
        </w:rPr>
        <w:t>Present: __________________________________________________________________</w:t>
      </w:r>
    </w:p>
    <w:p w14:paraId="52B48923" w14:textId="77777777" w:rsidR="00257DC4" w:rsidRPr="00CF782C" w:rsidRDefault="00257DC4" w:rsidP="00257DC4">
      <w:pPr>
        <w:pStyle w:val="Normal0"/>
        <w:spacing w:after="120"/>
        <w:rPr>
          <w:sz w:val="22"/>
          <w:szCs w:val="22"/>
        </w:rPr>
      </w:pPr>
      <w:r w:rsidRPr="00CF782C">
        <w:rPr>
          <w:sz w:val="22"/>
          <w:szCs w:val="22"/>
        </w:rPr>
        <w:t>Absent:</w:t>
      </w:r>
      <w:r w:rsidRPr="00CF782C">
        <w:rPr>
          <w:sz w:val="22"/>
          <w:szCs w:val="22"/>
        </w:rPr>
        <w:tab/>
        <w:t>__________________________________________________________________</w:t>
      </w:r>
    </w:p>
    <w:p w14:paraId="11F26DB3" w14:textId="77777777" w:rsidR="00257DC4" w:rsidRPr="00CF782C" w:rsidRDefault="00257DC4" w:rsidP="00257DC4">
      <w:pPr>
        <w:pStyle w:val="Normal0"/>
        <w:spacing w:after="120"/>
        <w:rPr>
          <w:sz w:val="22"/>
          <w:szCs w:val="22"/>
        </w:rPr>
      </w:pPr>
      <w:r w:rsidRPr="00CF782C">
        <w:rPr>
          <w:sz w:val="22"/>
          <w:szCs w:val="22"/>
        </w:rPr>
        <w:tab/>
        <w:t>The following preamble and resolution were offered by Board Member ________________ and supported by Board Member __________________:</w:t>
      </w:r>
    </w:p>
    <w:p w14:paraId="3AAC2F7C" w14:textId="77777777" w:rsidR="00257DC4" w:rsidRPr="00CF782C" w:rsidRDefault="00257DC4" w:rsidP="007C00D0">
      <w:pPr>
        <w:pStyle w:val="10spCentered"/>
        <w:spacing w:before="120" w:after="120"/>
        <w:rPr>
          <w:b/>
          <w:sz w:val="22"/>
          <w:szCs w:val="22"/>
        </w:rPr>
      </w:pPr>
      <w:r w:rsidRPr="00CF782C">
        <w:rPr>
          <w:b/>
          <w:sz w:val="22"/>
          <w:szCs w:val="22"/>
        </w:rPr>
        <w:t>BACKGROUND</w:t>
      </w:r>
    </w:p>
    <w:p w14:paraId="7AA67F2F" w14:textId="77777777" w:rsidR="00257DC4" w:rsidRPr="00CF782C" w:rsidRDefault="00257DC4" w:rsidP="00257DC4">
      <w:pPr>
        <w:suppressAutoHyphens w:val="0"/>
        <w:autoSpaceDE w:val="0"/>
        <w:autoSpaceDN w:val="0"/>
        <w:adjustRightInd w:val="0"/>
        <w:rPr>
          <w:color w:val="000000"/>
          <w:sz w:val="22"/>
          <w:lang w:val="en"/>
        </w:rPr>
      </w:pPr>
      <w:r w:rsidRPr="00CF782C">
        <w:rPr>
          <w:sz w:val="22"/>
        </w:rPr>
        <w:tab/>
        <w:t xml:space="preserve">On August 20, 2020, in response to the </w:t>
      </w:r>
      <w:r w:rsidRPr="00CF782C">
        <w:rPr>
          <w:color w:val="000000"/>
          <w:sz w:val="22"/>
          <w:lang w:val="en"/>
        </w:rPr>
        <w:t>novel coronavirus (COVID-19</w:t>
      </w:r>
      <w:r w:rsidRPr="00CF782C">
        <w:rPr>
          <w:sz w:val="22"/>
        </w:rPr>
        <w:t>) pandemic affecting our state, Governor Whitmer signed into law certain amendments to the State School Aid Act of 1979, as amended, MCL 388.1601 et seq. (“Back to School Laws”).  The Back to School Laws include additional requirements for all Michigan schools as they plan for a return of preK-12 education for the 2020-2021 school year.  Under the Back to School Laws, a public school academy must provide for instruction under an extended COVID-19 learning plan (“ECLP”) that is approved by its authorizing body (“Authorizer”).  ECLPs includes many of the same subject matters addressed in a public school academy’s charter contract, including measurable educational goals to be achieved by all subgroups in the school, measurement of those educational goals by one or more benchmark assessments, a description of how the educational program, including instruction, will be delivered, a description of the school’s curricula and specific reporting requirements for the 2020-2021 school year.  Under the Back to School Laws, schools retain the flexibility to tailor and adjust their ECLPs to meet the needs of their students and the community they serve.</w:t>
      </w:r>
    </w:p>
    <w:p w14:paraId="606A37CA" w14:textId="77777777" w:rsidR="00257DC4" w:rsidRPr="00CF782C" w:rsidRDefault="00257DC4" w:rsidP="00257DC4">
      <w:pPr>
        <w:pStyle w:val="Normal0"/>
        <w:rPr>
          <w:sz w:val="22"/>
          <w:szCs w:val="22"/>
        </w:rPr>
      </w:pPr>
    </w:p>
    <w:p w14:paraId="65EB3B30" w14:textId="77777777" w:rsidR="00257DC4" w:rsidRPr="00CF782C" w:rsidRDefault="00257DC4" w:rsidP="00257DC4">
      <w:pPr>
        <w:suppressAutoHyphens w:val="0"/>
        <w:autoSpaceDE w:val="0"/>
        <w:autoSpaceDN w:val="0"/>
        <w:adjustRightInd w:val="0"/>
        <w:rPr>
          <w:sz w:val="22"/>
        </w:rPr>
      </w:pPr>
      <w:r w:rsidRPr="00CF782C">
        <w:rPr>
          <w:sz w:val="22"/>
        </w:rPr>
        <w:tab/>
        <w:t>The Back to School Laws require, among other things, that each public school academy do the following:</w:t>
      </w:r>
    </w:p>
    <w:p w14:paraId="0C4A957B" w14:textId="77777777" w:rsidR="00257DC4" w:rsidRPr="00CF782C" w:rsidRDefault="00257DC4" w:rsidP="00257DC4">
      <w:pPr>
        <w:suppressAutoHyphens w:val="0"/>
        <w:autoSpaceDE w:val="0"/>
        <w:autoSpaceDN w:val="0"/>
        <w:adjustRightInd w:val="0"/>
        <w:rPr>
          <w:sz w:val="22"/>
        </w:rPr>
      </w:pPr>
    </w:p>
    <w:p w14:paraId="24553886" w14:textId="77777777" w:rsidR="00257DC4" w:rsidRPr="00CF782C" w:rsidRDefault="00257DC4" w:rsidP="00257DC4">
      <w:pPr>
        <w:spacing w:after="120"/>
        <w:rPr>
          <w:sz w:val="22"/>
        </w:rPr>
      </w:pPr>
      <w:r w:rsidRPr="00CF782C">
        <w:rPr>
          <w:sz w:val="22"/>
        </w:rPr>
        <w:t>(1)  Establish educational goals required to be included in the ECLP no later than September 15, 2020.</w:t>
      </w:r>
    </w:p>
    <w:p w14:paraId="0CE3D098" w14:textId="77777777" w:rsidR="00257DC4" w:rsidRPr="00CF782C" w:rsidRDefault="00257DC4" w:rsidP="00257DC4">
      <w:pPr>
        <w:suppressAutoHyphens w:val="0"/>
        <w:autoSpaceDE w:val="0"/>
        <w:autoSpaceDN w:val="0"/>
        <w:adjustRightInd w:val="0"/>
        <w:spacing w:after="120"/>
        <w:rPr>
          <w:sz w:val="22"/>
        </w:rPr>
      </w:pPr>
      <w:r w:rsidRPr="00CF782C">
        <w:rPr>
          <w:sz w:val="22"/>
        </w:rPr>
        <w:t>(2)  Approve an ECLP and submit it to their respective authorizing body (“Authorizer”) for approval by October 1, 2020.  If approved by the Authorizer, the ECLP is transmitted by the Authorizer to the Superintendent of Public Instruction and the State Treasurer.</w:t>
      </w:r>
    </w:p>
    <w:p w14:paraId="3C610BA5" w14:textId="77777777" w:rsidR="00257DC4" w:rsidRPr="00CF782C" w:rsidRDefault="00257DC4" w:rsidP="00257DC4">
      <w:pPr>
        <w:spacing w:after="120"/>
        <w:rPr>
          <w:sz w:val="22"/>
        </w:rPr>
      </w:pPr>
      <w:r w:rsidRPr="00CF782C">
        <w:rPr>
          <w:sz w:val="22"/>
        </w:rPr>
        <w:t>(3)  Make an ECLP accessible through the transparency reporting link on the school’s website by October 1, 2020.</w:t>
      </w:r>
    </w:p>
    <w:p w14:paraId="4CCEA185" w14:textId="77777777" w:rsidR="00257DC4" w:rsidRPr="00CF782C" w:rsidRDefault="00257DC4" w:rsidP="00257DC4">
      <w:pPr>
        <w:spacing w:after="120"/>
        <w:rPr>
          <w:sz w:val="22"/>
        </w:rPr>
      </w:pPr>
      <w:r w:rsidRPr="00CF782C">
        <w:rPr>
          <w:sz w:val="22"/>
        </w:rPr>
        <w:t>(4)  Within the first nine weeks of the 2020-2021 school year, administer 1 or more benchmark assessments from the list approved by the Michigan Department of Education (MDE)</w:t>
      </w:r>
      <w:r w:rsidRPr="00CF782C">
        <w:rPr>
          <w:rStyle w:val="FootnoteReference"/>
          <w:sz w:val="22"/>
        </w:rPr>
        <w:footnoteReference w:id="1"/>
      </w:r>
      <w:r w:rsidRPr="00CF782C">
        <w:rPr>
          <w:sz w:val="22"/>
        </w:rPr>
        <w:t>, a benchmark assessment provided by MDE, or local benchmark assessments, or a combination of the above, to pupils in grades K-8 to measure math and reading proficiency.  In addition, by the last day of the 2020-2021 school year, administer another benchmark assessment to pupils in K-8 to measure proficiency in the same subject matter.  The Back to School Laws require schools to use the same benchmark assessment(s) used in the 2019-2020 school year, if applicable.</w:t>
      </w:r>
    </w:p>
    <w:p w14:paraId="4D7464D3" w14:textId="77777777" w:rsidR="00257DC4" w:rsidRPr="00CF782C" w:rsidRDefault="00257DC4" w:rsidP="00257DC4">
      <w:pPr>
        <w:spacing w:after="120"/>
        <w:rPr>
          <w:rStyle w:val="mibillnew"/>
          <w:bCs/>
          <w:color w:val="000000"/>
          <w:sz w:val="22"/>
        </w:rPr>
      </w:pPr>
      <w:r w:rsidRPr="00CF782C">
        <w:rPr>
          <w:rStyle w:val="mibillnew"/>
          <w:bCs/>
          <w:color w:val="000000"/>
          <w:sz w:val="22"/>
        </w:rPr>
        <w:t>(5)  Provide each pupil's data from the benchmark assessment or benchmark assessments, as available, to the pupil's parent or legal guardian within 30 days of administering the benchmark assessment(s).</w:t>
      </w:r>
    </w:p>
    <w:p w14:paraId="6E480FB4" w14:textId="77777777" w:rsidR="00257DC4" w:rsidRPr="00CF782C" w:rsidRDefault="00257DC4" w:rsidP="00257DC4">
      <w:pPr>
        <w:spacing w:after="120"/>
        <w:rPr>
          <w:sz w:val="22"/>
        </w:rPr>
      </w:pPr>
      <w:r w:rsidRPr="00CF782C">
        <w:rPr>
          <w:sz w:val="22"/>
        </w:rPr>
        <w:lastRenderedPageBreak/>
        <w:t>(6)  Not later than February 1, 2021, create a report that addresses the progress made in meeting the educational goals in the ECLP that the academy expected would be achieved by the middle of the school year and make the report available on the transparency reporting link on a public school academy’s website.</w:t>
      </w:r>
    </w:p>
    <w:p w14:paraId="5DB109BB" w14:textId="77777777" w:rsidR="00257DC4" w:rsidRPr="00CF782C" w:rsidRDefault="00257DC4" w:rsidP="00257DC4">
      <w:pPr>
        <w:spacing w:after="120"/>
        <w:rPr>
          <w:sz w:val="22"/>
        </w:rPr>
      </w:pPr>
      <w:r w:rsidRPr="00CF782C">
        <w:rPr>
          <w:sz w:val="22"/>
        </w:rPr>
        <w:t>(7)  Not later than the last day of the 2020-2021 school year, create a report concerning progress made in meeting the educational goals in the ECLP and make the report available on the transparency reporting link on a public school academy’s website.</w:t>
      </w:r>
    </w:p>
    <w:p w14:paraId="04BFB1BC" w14:textId="77777777" w:rsidR="00257DC4" w:rsidRPr="00CF782C" w:rsidRDefault="00257DC4" w:rsidP="00257DC4">
      <w:pPr>
        <w:spacing w:after="120"/>
        <w:rPr>
          <w:rStyle w:val="mibillnew"/>
          <w:bCs/>
          <w:color w:val="000000"/>
          <w:sz w:val="22"/>
        </w:rPr>
      </w:pPr>
      <w:r w:rsidRPr="00CF782C">
        <w:rPr>
          <w:sz w:val="22"/>
        </w:rPr>
        <w:t>(8)  No</w:t>
      </w:r>
      <w:r w:rsidRPr="00CF782C">
        <w:rPr>
          <w:rStyle w:val="mibillnew"/>
          <w:bCs/>
          <w:color w:val="000000"/>
          <w:sz w:val="22"/>
        </w:rPr>
        <w:t xml:space="preserve"> later than June 30, 2021, send the aggregate academy-level data from a benchmark assessment(s), excluding data from a local benchmark assessment or local benchmark assessments, to a regional data hub that is part of the Michigan data hub network that shall compile the data and send it to the Center for Educational Performance and Information (CEPI).</w:t>
      </w:r>
    </w:p>
    <w:p w14:paraId="59DC3322" w14:textId="77777777" w:rsidR="00257DC4" w:rsidRPr="00CF782C" w:rsidRDefault="00257DC4" w:rsidP="00257DC4">
      <w:pPr>
        <w:spacing w:after="120"/>
        <w:rPr>
          <w:sz w:val="22"/>
        </w:rPr>
      </w:pPr>
      <w:r w:rsidRPr="00CF782C">
        <w:rPr>
          <w:sz w:val="22"/>
        </w:rPr>
        <w:t>(9)  Thirty days after approval of the ECLP, the Board shall meet monthly</w:t>
      </w:r>
      <w:r w:rsidRPr="00CF782C">
        <w:rPr>
          <w:bCs/>
          <w:color w:val="000000"/>
          <w:sz w:val="22"/>
        </w:rPr>
        <w:t xml:space="preserve"> to re-confirm how pupil instruction is being delivered at the school and whether it is consistent with the ECLP and to ensure that 2 2-way interaction, as defined in the Act, is occurring between students and teachers each week of the school year for at least 75% of students enrolled in the school.  At each meeting, the Board shall: (a) publicly announce its weekly interaction rates of 2 2-way interaction since its last meeting; </w:t>
      </w:r>
      <w:r w:rsidRPr="00CF782C">
        <w:rPr>
          <w:rStyle w:val="mibillnew"/>
          <w:bCs/>
          <w:color w:val="000000"/>
          <w:sz w:val="22"/>
        </w:rPr>
        <w:t>(b) allow for public comment on the ECLP; and (c) discuss whether changes to the method of delivery for pupil instruction under the ECLP are necessary.</w:t>
      </w:r>
    </w:p>
    <w:p w14:paraId="6FA290DE" w14:textId="77777777" w:rsidR="00257DC4" w:rsidRPr="00CF782C" w:rsidRDefault="00257DC4" w:rsidP="00257DC4">
      <w:pPr>
        <w:rPr>
          <w:sz w:val="22"/>
        </w:rPr>
      </w:pPr>
    </w:p>
    <w:p w14:paraId="4A9C759B" w14:textId="55C65298" w:rsidR="00257DC4" w:rsidRPr="00CF782C" w:rsidRDefault="00257DC4" w:rsidP="00257DC4">
      <w:pPr>
        <w:pStyle w:val="Normal0"/>
        <w:spacing w:after="120"/>
        <w:rPr>
          <w:b/>
          <w:sz w:val="22"/>
          <w:szCs w:val="22"/>
        </w:rPr>
      </w:pPr>
      <w:r w:rsidRPr="00CF782C">
        <w:rPr>
          <w:b/>
          <w:sz w:val="22"/>
          <w:szCs w:val="22"/>
        </w:rPr>
        <w:t>THE ACADEMY BOARD THEREFORE RESOLVES THAT:</w:t>
      </w:r>
    </w:p>
    <w:p w14:paraId="618EFA60" w14:textId="57FC839C" w:rsidR="00257DC4" w:rsidRPr="00257DC4" w:rsidRDefault="00257DC4" w:rsidP="00257DC4">
      <w:pPr>
        <w:pStyle w:val="Normal0"/>
        <w:numPr>
          <w:ilvl w:val="0"/>
          <w:numId w:val="2"/>
        </w:numPr>
        <w:spacing w:after="120"/>
        <w:ind w:hanging="360"/>
        <w:rPr>
          <w:sz w:val="22"/>
          <w:szCs w:val="22"/>
        </w:rPr>
      </w:pPr>
      <w:r w:rsidRPr="00257DC4">
        <w:rPr>
          <w:sz w:val="22"/>
          <w:szCs w:val="22"/>
        </w:rPr>
        <w:t xml:space="preserve">The actions taken by Academy representatives to prepare and submit the Academy’s </w:t>
      </w:r>
      <w:r>
        <w:rPr>
          <w:sz w:val="22"/>
          <w:szCs w:val="22"/>
        </w:rPr>
        <w:t xml:space="preserve">ECLP </w:t>
      </w:r>
      <w:r w:rsidRPr="00257DC4">
        <w:rPr>
          <w:sz w:val="22"/>
          <w:szCs w:val="22"/>
        </w:rPr>
        <w:t>to Authorizer are ratified.</w:t>
      </w:r>
      <w:r w:rsidRPr="00257DC4">
        <w:rPr>
          <w:sz w:val="22"/>
          <w:szCs w:val="22"/>
        </w:rPr>
        <w:tab/>
      </w:r>
    </w:p>
    <w:p w14:paraId="45282A36" w14:textId="0C25FDBE" w:rsidR="00257DC4" w:rsidRPr="00257DC4" w:rsidRDefault="00257DC4" w:rsidP="00257DC4">
      <w:pPr>
        <w:pStyle w:val="Normal0"/>
        <w:numPr>
          <w:ilvl w:val="0"/>
          <w:numId w:val="2"/>
        </w:numPr>
        <w:spacing w:after="120"/>
        <w:ind w:hanging="360"/>
        <w:rPr>
          <w:sz w:val="22"/>
          <w:szCs w:val="22"/>
        </w:rPr>
      </w:pPr>
      <w:r w:rsidRPr="00257DC4">
        <w:rPr>
          <w:sz w:val="22"/>
          <w:szCs w:val="22"/>
        </w:rPr>
        <w:t xml:space="preserve">The </w:t>
      </w:r>
      <w:r>
        <w:rPr>
          <w:sz w:val="22"/>
          <w:szCs w:val="22"/>
        </w:rPr>
        <w:t>ECLP</w:t>
      </w:r>
      <w:r w:rsidRPr="00257DC4">
        <w:rPr>
          <w:sz w:val="22"/>
          <w:szCs w:val="22"/>
        </w:rPr>
        <w:t xml:space="preserve">, as approved by the Authorizer, is approved by the Academy Board as the </w:t>
      </w:r>
      <w:r>
        <w:rPr>
          <w:sz w:val="22"/>
          <w:szCs w:val="22"/>
        </w:rPr>
        <w:t xml:space="preserve">ECLP </w:t>
      </w:r>
      <w:r w:rsidRPr="00257DC4">
        <w:rPr>
          <w:sz w:val="22"/>
          <w:szCs w:val="22"/>
        </w:rPr>
        <w:t xml:space="preserve">and as the </w:t>
      </w:r>
      <w:r>
        <w:rPr>
          <w:sz w:val="22"/>
          <w:szCs w:val="22"/>
        </w:rPr>
        <w:t xml:space="preserve">ECLP </w:t>
      </w:r>
      <w:r w:rsidRPr="00257DC4">
        <w:rPr>
          <w:sz w:val="22"/>
          <w:szCs w:val="22"/>
        </w:rPr>
        <w:t>Amendment to the Contract.</w:t>
      </w:r>
    </w:p>
    <w:p w14:paraId="0472A33D" w14:textId="0A3D737E" w:rsidR="00257DC4" w:rsidRPr="00CF782C" w:rsidRDefault="00257DC4" w:rsidP="00257DC4">
      <w:pPr>
        <w:pStyle w:val="Normal0"/>
        <w:numPr>
          <w:ilvl w:val="0"/>
          <w:numId w:val="2"/>
        </w:numPr>
        <w:spacing w:after="120"/>
        <w:ind w:hanging="360"/>
        <w:rPr>
          <w:sz w:val="22"/>
          <w:szCs w:val="22"/>
        </w:rPr>
      </w:pPr>
      <w:r w:rsidRPr="00CF782C">
        <w:rPr>
          <w:sz w:val="22"/>
          <w:szCs w:val="22"/>
        </w:rPr>
        <w:t>All resolutions and parts of resolutions insofar as they conflict with the provisions of this resolution be and the same hereby are rescinded.</w:t>
      </w:r>
    </w:p>
    <w:p w14:paraId="3CED19F3" w14:textId="72846144" w:rsidR="00257DC4" w:rsidRPr="00CF782C" w:rsidRDefault="00257DC4" w:rsidP="00257DC4">
      <w:pPr>
        <w:pStyle w:val="Normal0"/>
        <w:numPr>
          <w:ilvl w:val="0"/>
          <w:numId w:val="2"/>
        </w:numPr>
        <w:spacing w:after="120"/>
        <w:ind w:hanging="360"/>
        <w:rPr>
          <w:sz w:val="22"/>
          <w:szCs w:val="22"/>
        </w:rPr>
      </w:pPr>
      <w:r w:rsidRPr="00CF782C">
        <w:rPr>
          <w:sz w:val="22"/>
          <w:szCs w:val="22"/>
        </w:rPr>
        <w:t>The Academy will deliver from time to time such information regarding the implementation of the Academy’s ECLP as the Authorizer or Michigan Department of Education may reasonably request.</w:t>
      </w:r>
    </w:p>
    <w:p w14:paraId="6F09615B" w14:textId="5B946C41" w:rsidR="00257DC4" w:rsidRPr="00CF782C" w:rsidRDefault="00257DC4" w:rsidP="00257DC4">
      <w:pPr>
        <w:pStyle w:val="Normal0"/>
        <w:numPr>
          <w:ilvl w:val="0"/>
          <w:numId w:val="2"/>
        </w:numPr>
        <w:spacing w:after="120"/>
        <w:ind w:hanging="360"/>
        <w:rPr>
          <w:sz w:val="22"/>
          <w:szCs w:val="22"/>
        </w:rPr>
      </w:pPr>
      <w:r w:rsidRPr="00CF782C">
        <w:rPr>
          <w:sz w:val="22"/>
          <w:szCs w:val="22"/>
        </w:rPr>
        <w:t>Any Board policies or provision of Board policies that prohibit or impede the Academy’s compliance with ECLP are temporarily waived, suspended or altered.</w:t>
      </w:r>
    </w:p>
    <w:p w14:paraId="55E8D758" w14:textId="6809F1DF" w:rsidR="00257DC4" w:rsidRPr="00CF782C" w:rsidRDefault="00257DC4" w:rsidP="00257DC4">
      <w:pPr>
        <w:pStyle w:val="Normal0"/>
        <w:numPr>
          <w:ilvl w:val="0"/>
          <w:numId w:val="2"/>
        </w:numPr>
        <w:spacing w:after="120"/>
        <w:ind w:hanging="360"/>
        <w:rPr>
          <w:sz w:val="22"/>
          <w:szCs w:val="22"/>
        </w:rPr>
      </w:pPr>
      <w:r w:rsidRPr="00CF782C">
        <w:rPr>
          <w:sz w:val="22"/>
          <w:szCs w:val="22"/>
        </w:rPr>
        <w:t>This Resolution shall take immediate effect and continue through the end of the 2020-2021 school year.  If the Back to School Laws are amended, and such amendments requires additional Board action relative to the ECLP, the Board may take such action to comply with existing law.</w:t>
      </w:r>
    </w:p>
    <w:p w14:paraId="609A2B66" w14:textId="157DD6ED" w:rsidR="00257DC4" w:rsidRPr="00CF782C" w:rsidRDefault="00257DC4" w:rsidP="00257DC4">
      <w:pPr>
        <w:pStyle w:val="Normal0"/>
        <w:spacing w:after="120"/>
        <w:ind w:left="1440" w:hanging="720"/>
        <w:rPr>
          <w:sz w:val="22"/>
          <w:szCs w:val="22"/>
        </w:rPr>
      </w:pPr>
      <w:r w:rsidRPr="00CF782C">
        <w:rPr>
          <w:sz w:val="22"/>
          <w:szCs w:val="22"/>
        </w:rPr>
        <w:tab/>
        <w:t>Ayes:______________________</w:t>
      </w:r>
    </w:p>
    <w:p w14:paraId="157FDF7E" w14:textId="17AB0E9A" w:rsidR="00257DC4" w:rsidRPr="00CF782C" w:rsidRDefault="00257DC4" w:rsidP="00257DC4">
      <w:pPr>
        <w:pStyle w:val="Normal0"/>
        <w:spacing w:after="120"/>
        <w:ind w:left="1440" w:hanging="720"/>
        <w:rPr>
          <w:sz w:val="22"/>
          <w:szCs w:val="22"/>
        </w:rPr>
      </w:pPr>
      <w:r w:rsidRPr="00CF782C">
        <w:rPr>
          <w:sz w:val="22"/>
          <w:szCs w:val="22"/>
        </w:rPr>
        <w:tab/>
        <w:t xml:space="preserve">Nays: ______________________ </w:t>
      </w:r>
    </w:p>
    <w:p w14:paraId="52CA3D7C" w14:textId="02A3C8A7" w:rsidR="00257DC4" w:rsidRPr="00CF782C" w:rsidRDefault="00257DC4" w:rsidP="00257DC4">
      <w:pPr>
        <w:pStyle w:val="Normal0"/>
        <w:spacing w:after="120"/>
        <w:ind w:left="1440" w:hanging="720"/>
        <w:rPr>
          <w:sz w:val="22"/>
          <w:szCs w:val="22"/>
        </w:rPr>
      </w:pPr>
      <w:r w:rsidRPr="00CF782C">
        <w:rPr>
          <w:sz w:val="22"/>
          <w:szCs w:val="22"/>
        </w:rPr>
        <w:t>Resolution declared adopted.</w:t>
      </w:r>
    </w:p>
    <w:p w14:paraId="33A5AD2B" w14:textId="77777777" w:rsidR="00257DC4" w:rsidRPr="00CF782C" w:rsidRDefault="00257DC4" w:rsidP="00257DC4">
      <w:pPr>
        <w:pStyle w:val="Normal0"/>
        <w:spacing w:after="120"/>
        <w:ind w:left="5040" w:firstLine="720"/>
        <w:rPr>
          <w:sz w:val="22"/>
          <w:szCs w:val="22"/>
        </w:rPr>
      </w:pPr>
      <w:r w:rsidRPr="00CF782C">
        <w:rPr>
          <w:sz w:val="22"/>
          <w:szCs w:val="22"/>
        </w:rPr>
        <w:t>______________________________</w:t>
      </w:r>
    </w:p>
    <w:p w14:paraId="75F10C68" w14:textId="77777777" w:rsidR="00257DC4" w:rsidRPr="00CF782C" w:rsidRDefault="00257DC4" w:rsidP="00257DC4">
      <w:pPr>
        <w:pStyle w:val="Normal0"/>
        <w:spacing w:after="120"/>
        <w:ind w:left="1440" w:hanging="720"/>
        <w:rPr>
          <w:sz w:val="22"/>
          <w:szCs w:val="22"/>
        </w:rPr>
      </w:pPr>
      <w:r w:rsidRPr="00CF782C">
        <w:rPr>
          <w:sz w:val="22"/>
          <w:szCs w:val="22"/>
        </w:rPr>
        <w:tab/>
      </w:r>
      <w:r w:rsidRPr="00CF782C">
        <w:rPr>
          <w:sz w:val="22"/>
          <w:szCs w:val="22"/>
        </w:rPr>
        <w:tab/>
      </w:r>
      <w:r w:rsidRPr="00CF782C">
        <w:rPr>
          <w:sz w:val="22"/>
          <w:szCs w:val="22"/>
        </w:rPr>
        <w:tab/>
      </w:r>
      <w:r w:rsidRPr="00CF782C">
        <w:rPr>
          <w:sz w:val="22"/>
          <w:szCs w:val="22"/>
        </w:rPr>
        <w:tab/>
      </w:r>
      <w:r w:rsidRPr="00CF782C">
        <w:rPr>
          <w:sz w:val="22"/>
          <w:szCs w:val="22"/>
        </w:rPr>
        <w:tab/>
      </w:r>
      <w:r w:rsidRPr="00CF782C">
        <w:rPr>
          <w:sz w:val="22"/>
          <w:szCs w:val="22"/>
        </w:rPr>
        <w:tab/>
      </w:r>
      <w:r w:rsidRPr="00CF782C">
        <w:rPr>
          <w:sz w:val="22"/>
          <w:szCs w:val="22"/>
        </w:rPr>
        <w:tab/>
        <w:t>Print Name: ____________________</w:t>
      </w:r>
    </w:p>
    <w:p w14:paraId="33D484B2" w14:textId="5E437EE8" w:rsidR="00FB0A37" w:rsidRPr="007C00D0" w:rsidRDefault="00257DC4" w:rsidP="007C00D0">
      <w:pPr>
        <w:pStyle w:val="Normal0"/>
        <w:spacing w:after="120"/>
        <w:ind w:left="1440" w:hanging="720"/>
        <w:rPr>
          <w:sz w:val="22"/>
          <w:szCs w:val="22"/>
        </w:rPr>
      </w:pPr>
      <w:r w:rsidRPr="00CF782C">
        <w:rPr>
          <w:sz w:val="22"/>
          <w:szCs w:val="22"/>
        </w:rPr>
        <w:tab/>
      </w:r>
      <w:r w:rsidRPr="00CF782C">
        <w:rPr>
          <w:sz w:val="22"/>
          <w:szCs w:val="22"/>
        </w:rPr>
        <w:tab/>
      </w:r>
      <w:r w:rsidRPr="00CF782C">
        <w:rPr>
          <w:sz w:val="22"/>
          <w:szCs w:val="22"/>
        </w:rPr>
        <w:tab/>
      </w:r>
      <w:r w:rsidRPr="00CF782C">
        <w:rPr>
          <w:sz w:val="22"/>
          <w:szCs w:val="22"/>
        </w:rPr>
        <w:tab/>
      </w:r>
      <w:r w:rsidRPr="00CF782C">
        <w:rPr>
          <w:sz w:val="22"/>
          <w:szCs w:val="22"/>
        </w:rPr>
        <w:tab/>
      </w:r>
      <w:r w:rsidRPr="00CF782C">
        <w:rPr>
          <w:sz w:val="22"/>
          <w:szCs w:val="22"/>
        </w:rPr>
        <w:tab/>
      </w:r>
      <w:r w:rsidRPr="00CF782C">
        <w:rPr>
          <w:sz w:val="22"/>
          <w:szCs w:val="22"/>
        </w:rPr>
        <w:tab/>
        <w:t>Secretary, Academy Board</w:t>
      </w:r>
      <w:bookmarkStart w:id="0" w:name="_GoBack"/>
      <w:bookmarkEnd w:id="0"/>
    </w:p>
    <w:sectPr w:rsidR="00FB0A37" w:rsidRPr="007C00D0" w:rsidSect="00257DC4">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3E374" w14:textId="77777777" w:rsidR="008E524C" w:rsidRDefault="008E524C" w:rsidP="00257DC4">
      <w:r>
        <w:separator/>
      </w:r>
    </w:p>
  </w:endnote>
  <w:endnote w:type="continuationSeparator" w:id="0">
    <w:p w14:paraId="2B1EA5BC" w14:textId="77777777" w:rsidR="008E524C" w:rsidRDefault="008E524C" w:rsidP="00257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99B62" w14:textId="77777777" w:rsidR="008E524C" w:rsidRDefault="008E524C" w:rsidP="00257DC4">
      <w:r>
        <w:separator/>
      </w:r>
    </w:p>
  </w:footnote>
  <w:footnote w:type="continuationSeparator" w:id="0">
    <w:p w14:paraId="43FE4346" w14:textId="77777777" w:rsidR="008E524C" w:rsidRDefault="008E524C" w:rsidP="00257DC4">
      <w:r>
        <w:continuationSeparator/>
      </w:r>
    </w:p>
  </w:footnote>
  <w:footnote w:id="1">
    <w:p w14:paraId="320F82AE" w14:textId="77777777" w:rsidR="00257DC4" w:rsidRPr="00257DC4" w:rsidRDefault="00257DC4" w:rsidP="00257DC4">
      <w:pPr>
        <w:pStyle w:val="FootnoteText"/>
        <w:rPr>
          <w:sz w:val="18"/>
          <w:szCs w:val="18"/>
        </w:rPr>
      </w:pPr>
      <w:r w:rsidRPr="00257DC4">
        <w:rPr>
          <w:rStyle w:val="FootnoteReference"/>
          <w:sz w:val="18"/>
          <w:szCs w:val="18"/>
        </w:rPr>
        <w:footnoteRef/>
      </w:r>
      <w:r w:rsidRPr="00257DC4">
        <w:rPr>
          <w:sz w:val="18"/>
          <w:szCs w:val="18"/>
        </w:rPr>
        <w:t xml:space="preserve"> MDE has approved four providers of benchmark assessments and continues to assess additional providers.  See https://www.michigan.gov/documents/mde/Benchmark assessments 700077 7.pdf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D0612"/>
    <w:multiLevelType w:val="hybridMultilevel"/>
    <w:tmpl w:val="3B104BC2"/>
    <w:lvl w:ilvl="0" w:tplc="0EBE063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5B349C"/>
    <w:multiLevelType w:val="hybridMultilevel"/>
    <w:tmpl w:val="E22416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B4C5B8D"/>
    <w:multiLevelType w:val="hybridMultilevel"/>
    <w:tmpl w:val="A1362EE8"/>
    <w:lvl w:ilvl="0" w:tplc="4BD6DBE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DC4"/>
    <w:rsid w:val="00257DC4"/>
    <w:rsid w:val="007C00D0"/>
    <w:rsid w:val="008E524C"/>
    <w:rsid w:val="00FB0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6EA8B"/>
  <w15:chartTrackingRefBased/>
  <w15:docId w15:val="{A407FBCD-9873-4316-9F4A-6F90571EE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DC4"/>
    <w:pPr>
      <w:suppressAutoHyphens/>
      <w:jc w:val="both"/>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257DC4"/>
    <w:pPr>
      <w:suppressAutoHyphens/>
      <w:jc w:val="both"/>
    </w:pPr>
    <w:rPr>
      <w:rFonts w:ascii="Times New Roman" w:eastAsia="SimSun" w:hAnsi="Times New Roman" w:cs="Times New Roman"/>
      <w:sz w:val="24"/>
      <w:szCs w:val="20"/>
    </w:rPr>
  </w:style>
  <w:style w:type="paragraph" w:customStyle="1" w:styleId="10spCentered">
    <w:name w:val="_1.0sp Centered"/>
    <w:basedOn w:val="Normal0"/>
    <w:rsid w:val="00257DC4"/>
    <w:pPr>
      <w:spacing w:after="240"/>
      <w:jc w:val="center"/>
    </w:pPr>
  </w:style>
  <w:style w:type="paragraph" w:customStyle="1" w:styleId="10spCenterednospaceafter">
    <w:name w:val="_1.0sp Centered (no space after)"/>
    <w:basedOn w:val="Normal0"/>
    <w:rsid w:val="00257DC4"/>
    <w:pPr>
      <w:jc w:val="center"/>
    </w:pPr>
  </w:style>
  <w:style w:type="paragraph" w:styleId="FootnoteText">
    <w:name w:val="footnote text"/>
    <w:basedOn w:val="Normal0"/>
    <w:link w:val="FootnoteTextChar"/>
    <w:rsid w:val="00257DC4"/>
    <w:pPr>
      <w:spacing w:after="120"/>
    </w:pPr>
  </w:style>
  <w:style w:type="character" w:customStyle="1" w:styleId="FootnoteTextChar">
    <w:name w:val="Footnote Text Char"/>
    <w:basedOn w:val="DefaultParagraphFont"/>
    <w:link w:val="FootnoteText"/>
    <w:rsid w:val="00257DC4"/>
    <w:rPr>
      <w:rFonts w:ascii="Times New Roman" w:eastAsia="SimSun" w:hAnsi="Times New Roman" w:cs="Times New Roman"/>
      <w:sz w:val="24"/>
      <w:szCs w:val="20"/>
    </w:rPr>
  </w:style>
  <w:style w:type="character" w:styleId="FootnoteReference">
    <w:name w:val="footnote reference"/>
    <w:basedOn w:val="DefaultParagraphFont"/>
    <w:semiHidden/>
    <w:unhideWhenUsed/>
    <w:rsid w:val="00257DC4"/>
    <w:rPr>
      <w:vertAlign w:val="superscript"/>
    </w:rPr>
  </w:style>
  <w:style w:type="character" w:customStyle="1" w:styleId="mibillnew">
    <w:name w:val="mibillnew"/>
    <w:basedOn w:val="DefaultParagraphFont"/>
    <w:rsid w:val="00257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917</Words>
  <Characters>5233</Characters>
  <Application>Microsoft Office Word</Application>
  <DocSecurity>0</DocSecurity>
  <Lines>43</Lines>
  <Paragraphs>12</Paragraphs>
  <ScaleCrop>false</ScaleCrop>
  <Company>Central Michigan University</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Atten-Densmore, Amy Sue</dc:creator>
  <cp:keywords/>
  <dc:description/>
  <cp:lastModifiedBy>Van Atten-Densmore, Amy Sue</cp:lastModifiedBy>
  <cp:revision>2</cp:revision>
  <dcterms:created xsi:type="dcterms:W3CDTF">2020-08-27T12:37:00Z</dcterms:created>
  <dcterms:modified xsi:type="dcterms:W3CDTF">2020-08-27T12:50:00Z</dcterms:modified>
</cp:coreProperties>
</file>